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6A49" w14:textId="34255EF7" w:rsidR="007A1BD6" w:rsidRPr="00FB0C7A" w:rsidRDefault="00F66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72217F">
        <w:rPr>
          <w:rFonts w:ascii="Arial" w:hAnsi="Arial" w:cs="Arial"/>
          <w:sz w:val="28"/>
          <w:szCs w:val="28"/>
        </w:rPr>
        <w:t>undi 21 janvier 2019</w:t>
      </w:r>
    </w:p>
    <w:p w14:paraId="3D5C51AE" w14:textId="77777777" w:rsidR="007A1BD6" w:rsidRPr="00FB0C7A" w:rsidRDefault="007A1BD6" w:rsidP="00F66997">
      <w:pPr>
        <w:jc w:val="both"/>
        <w:rPr>
          <w:rFonts w:ascii="Arial" w:hAnsi="Arial" w:cs="Arial"/>
          <w:sz w:val="28"/>
          <w:szCs w:val="28"/>
        </w:rPr>
      </w:pPr>
      <w:r w:rsidRPr="00FB0C7A">
        <w:rPr>
          <w:rFonts w:ascii="Arial" w:hAnsi="Arial" w:cs="Arial"/>
          <w:sz w:val="28"/>
          <w:szCs w:val="28"/>
        </w:rPr>
        <w:t>Recommandations/Application du règlement délégué/Sérialisation des médicaments</w:t>
      </w:r>
    </w:p>
    <w:p w14:paraId="19B64DEA" w14:textId="77777777" w:rsidR="007A1BD6" w:rsidRPr="00FB0C7A" w:rsidRDefault="007A1BD6">
      <w:pPr>
        <w:rPr>
          <w:rFonts w:ascii="Arial" w:hAnsi="Arial" w:cs="Arial"/>
          <w:sz w:val="28"/>
          <w:szCs w:val="28"/>
        </w:rPr>
      </w:pPr>
    </w:p>
    <w:p w14:paraId="01D7CB59" w14:textId="77777777" w:rsidR="00FB0C7A" w:rsidRDefault="007A1BD6">
      <w:pPr>
        <w:rPr>
          <w:rFonts w:ascii="Arial" w:hAnsi="Arial" w:cs="Arial"/>
          <w:sz w:val="28"/>
          <w:szCs w:val="28"/>
        </w:rPr>
      </w:pPr>
      <w:r w:rsidRPr="00FB0C7A">
        <w:rPr>
          <w:rFonts w:ascii="Arial" w:hAnsi="Arial" w:cs="Arial"/>
          <w:sz w:val="28"/>
          <w:szCs w:val="28"/>
        </w:rPr>
        <w:t xml:space="preserve">Objet : </w:t>
      </w:r>
      <w:r w:rsidR="00FB0C7A" w:rsidRPr="00FB0C7A">
        <w:rPr>
          <w:rFonts w:ascii="Arial" w:hAnsi="Arial" w:cs="Arial"/>
          <w:sz w:val="28"/>
          <w:szCs w:val="28"/>
        </w:rPr>
        <w:t>Identifiants uniques, format, codes consolidés.</w:t>
      </w:r>
    </w:p>
    <w:p w14:paraId="4EA0D7CB" w14:textId="77777777" w:rsidR="003D0786" w:rsidRDefault="003D0786">
      <w:pPr>
        <w:rPr>
          <w:rFonts w:ascii="Arial" w:hAnsi="Arial" w:cs="Arial"/>
          <w:sz w:val="28"/>
          <w:szCs w:val="28"/>
        </w:rPr>
      </w:pPr>
    </w:p>
    <w:p w14:paraId="0B836503" w14:textId="0F6A94D2" w:rsidR="00004F00" w:rsidRDefault="006732EE" w:rsidP="00F66997">
      <w:pPr>
        <w:jc w:val="both"/>
        <w:rPr>
          <w:rFonts w:ascii="Arial" w:hAnsi="Arial" w:cs="Arial"/>
          <w:sz w:val="28"/>
          <w:szCs w:val="28"/>
        </w:rPr>
      </w:pPr>
      <w:r w:rsidRPr="006732EE">
        <w:rPr>
          <w:rFonts w:ascii="Arial" w:hAnsi="Arial" w:cs="Arial"/>
          <w:sz w:val="28"/>
          <w:szCs w:val="28"/>
        </w:rPr>
        <w:t>L</w:t>
      </w:r>
      <w:r w:rsidR="00004F00">
        <w:rPr>
          <w:rFonts w:ascii="Arial" w:hAnsi="Arial" w:cs="Arial"/>
          <w:sz w:val="28"/>
          <w:szCs w:val="28"/>
        </w:rPr>
        <w:t xml:space="preserve">’application </w:t>
      </w:r>
      <w:r>
        <w:rPr>
          <w:rFonts w:ascii="Arial" w:hAnsi="Arial" w:cs="Arial"/>
          <w:sz w:val="28"/>
          <w:szCs w:val="28"/>
        </w:rPr>
        <w:t xml:space="preserve">du </w:t>
      </w:r>
      <w:r w:rsidR="00004F00">
        <w:rPr>
          <w:rFonts w:ascii="Arial" w:hAnsi="Arial" w:cs="Arial"/>
          <w:sz w:val="28"/>
          <w:szCs w:val="28"/>
        </w:rPr>
        <w:t>« </w:t>
      </w:r>
      <w:r>
        <w:rPr>
          <w:rFonts w:ascii="Arial" w:hAnsi="Arial" w:cs="Arial"/>
          <w:sz w:val="28"/>
          <w:szCs w:val="28"/>
        </w:rPr>
        <w:t>Règlement délégué</w:t>
      </w:r>
      <w:r w:rsidRPr="00FB0C7A">
        <w:rPr>
          <w:rFonts w:ascii="Arial" w:hAnsi="Arial" w:cs="Arial"/>
          <w:sz w:val="28"/>
          <w:szCs w:val="28"/>
        </w:rPr>
        <w:t xml:space="preserve"> (UE) 2016/161 du 2 octobre 2015 </w:t>
      </w:r>
      <w:r w:rsidR="00F66997" w:rsidRPr="00FB0C7A">
        <w:rPr>
          <w:rFonts w:ascii="Arial" w:hAnsi="Arial" w:cs="Arial"/>
          <w:sz w:val="28"/>
          <w:szCs w:val="28"/>
        </w:rPr>
        <w:t>complétant</w:t>
      </w:r>
      <w:r w:rsidRPr="00FB0C7A">
        <w:rPr>
          <w:rFonts w:ascii="Arial" w:hAnsi="Arial" w:cs="Arial"/>
          <w:sz w:val="28"/>
          <w:szCs w:val="28"/>
        </w:rPr>
        <w:t xml:space="preserve"> la directive 2001/83/CE du Parlement </w:t>
      </w:r>
      <w:r w:rsidR="00F66997" w:rsidRPr="00FB0C7A">
        <w:rPr>
          <w:rFonts w:ascii="Arial" w:hAnsi="Arial" w:cs="Arial"/>
          <w:sz w:val="28"/>
          <w:szCs w:val="28"/>
        </w:rPr>
        <w:t>européen</w:t>
      </w:r>
      <w:r w:rsidRPr="00FB0C7A">
        <w:rPr>
          <w:rFonts w:ascii="Arial" w:hAnsi="Arial" w:cs="Arial"/>
          <w:sz w:val="28"/>
          <w:szCs w:val="28"/>
        </w:rPr>
        <w:t xml:space="preserve"> et du Conseil en fixant les </w:t>
      </w:r>
      <w:r w:rsidR="00F66997" w:rsidRPr="00FB0C7A">
        <w:rPr>
          <w:rFonts w:ascii="Arial" w:hAnsi="Arial" w:cs="Arial"/>
          <w:sz w:val="28"/>
          <w:szCs w:val="28"/>
        </w:rPr>
        <w:t>modalités</w:t>
      </w:r>
      <w:r w:rsidRPr="00FB0C7A">
        <w:rPr>
          <w:rFonts w:ascii="Arial" w:hAnsi="Arial" w:cs="Arial"/>
          <w:sz w:val="28"/>
          <w:szCs w:val="28"/>
        </w:rPr>
        <w:t xml:space="preserve"> des dispositifs de </w:t>
      </w:r>
      <w:r w:rsidR="00F66997" w:rsidRPr="00FB0C7A">
        <w:rPr>
          <w:rFonts w:ascii="Arial" w:hAnsi="Arial" w:cs="Arial"/>
          <w:sz w:val="28"/>
          <w:szCs w:val="28"/>
        </w:rPr>
        <w:t>sécurité</w:t>
      </w:r>
      <w:r w:rsidRPr="00FB0C7A">
        <w:rPr>
          <w:rFonts w:ascii="Arial" w:hAnsi="Arial" w:cs="Arial"/>
          <w:sz w:val="28"/>
          <w:szCs w:val="28"/>
        </w:rPr>
        <w:t xml:space="preserve">́ figurant sur l'emballage des </w:t>
      </w:r>
      <w:r w:rsidR="00F66997" w:rsidRPr="00FB0C7A">
        <w:rPr>
          <w:rFonts w:ascii="Arial" w:hAnsi="Arial" w:cs="Arial"/>
          <w:sz w:val="28"/>
          <w:szCs w:val="28"/>
        </w:rPr>
        <w:t>médicaments</w:t>
      </w:r>
      <w:r w:rsidRPr="00FB0C7A">
        <w:rPr>
          <w:rFonts w:ascii="Arial" w:hAnsi="Arial" w:cs="Arial"/>
          <w:sz w:val="28"/>
          <w:szCs w:val="28"/>
        </w:rPr>
        <w:t xml:space="preserve"> à usage humain</w:t>
      </w:r>
      <w:r w:rsidR="00004F00">
        <w:rPr>
          <w:rFonts w:ascii="Arial" w:hAnsi="Arial" w:cs="Arial"/>
          <w:sz w:val="28"/>
          <w:szCs w:val="28"/>
        </w:rPr>
        <w:t> »</w:t>
      </w:r>
      <w:r w:rsidR="0072217F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="0072217F" w:rsidRPr="00DF30E8">
          <w:rPr>
            <w:rStyle w:val="Lienhypertexte"/>
            <w:rFonts w:ascii="Arial" w:hAnsi="Arial" w:cs="Arial"/>
            <w:sz w:val="28"/>
            <w:szCs w:val="28"/>
          </w:rPr>
          <w:t>https://eur-lex.europa.eu/legal-content/FR/TXT/PDF/?uri=CELEX:32016R0161&amp;from=CS</w:t>
        </w:r>
      </w:hyperlink>
      <w:r w:rsidR="00F66997">
        <w:rPr>
          <w:rFonts w:ascii="Arial" w:hAnsi="Arial" w:cs="Arial"/>
          <w:sz w:val="28"/>
          <w:szCs w:val="28"/>
        </w:rPr>
        <w:t xml:space="preserve">), </w:t>
      </w:r>
      <w:r w:rsidRPr="006732EE">
        <w:rPr>
          <w:rFonts w:ascii="Arial" w:hAnsi="Arial" w:cs="Arial"/>
          <w:sz w:val="28"/>
          <w:szCs w:val="28"/>
        </w:rPr>
        <w:t xml:space="preserve">doit être effective </w:t>
      </w:r>
      <w:r w:rsidR="00004F00">
        <w:rPr>
          <w:rFonts w:ascii="Arial" w:hAnsi="Arial" w:cs="Arial"/>
          <w:sz w:val="28"/>
          <w:szCs w:val="28"/>
        </w:rPr>
        <w:t xml:space="preserve">pour les établissements hospitaliers et médico-sociaux disposant d’une PUI </w:t>
      </w:r>
      <w:r w:rsidRPr="006732EE">
        <w:rPr>
          <w:rFonts w:ascii="Arial" w:hAnsi="Arial" w:cs="Arial"/>
          <w:sz w:val="28"/>
          <w:szCs w:val="28"/>
        </w:rPr>
        <w:t xml:space="preserve">le 9 février </w:t>
      </w:r>
      <w:r w:rsidR="00004F00">
        <w:rPr>
          <w:rFonts w:ascii="Arial" w:hAnsi="Arial" w:cs="Arial"/>
          <w:sz w:val="28"/>
          <w:szCs w:val="28"/>
        </w:rPr>
        <w:t xml:space="preserve">prochain. Depuis plus d’un an, nous vous donnons des informations en provenance de la CE, de la </w:t>
      </w:r>
      <w:r w:rsidR="00F66997">
        <w:rPr>
          <w:rFonts w:ascii="Arial" w:hAnsi="Arial" w:cs="Arial"/>
          <w:sz w:val="28"/>
          <w:szCs w:val="28"/>
        </w:rPr>
        <w:t>DGS</w:t>
      </w:r>
      <w:r w:rsidR="00F66997">
        <w:rPr>
          <w:rFonts w:ascii="Arial" w:hAnsi="Arial" w:cs="Arial"/>
          <w:sz w:val="28"/>
          <w:szCs w:val="28"/>
        </w:rPr>
        <w:t xml:space="preserve"> et de la </w:t>
      </w:r>
      <w:proofErr w:type="gramStart"/>
      <w:r w:rsidR="00004F00">
        <w:rPr>
          <w:rFonts w:ascii="Arial" w:hAnsi="Arial" w:cs="Arial"/>
          <w:sz w:val="28"/>
          <w:szCs w:val="28"/>
        </w:rPr>
        <w:t>DGOS ,</w:t>
      </w:r>
      <w:proofErr w:type="gramEnd"/>
      <w:r w:rsidR="00004F00">
        <w:rPr>
          <w:rFonts w:ascii="Arial" w:hAnsi="Arial" w:cs="Arial"/>
          <w:sz w:val="28"/>
          <w:szCs w:val="28"/>
        </w:rPr>
        <w:t xml:space="preserve"> de France-MVO</w:t>
      </w:r>
      <w:r w:rsidR="0072217F">
        <w:rPr>
          <w:rFonts w:ascii="Arial" w:hAnsi="Arial" w:cs="Arial"/>
          <w:sz w:val="28"/>
          <w:szCs w:val="28"/>
        </w:rPr>
        <w:t>,</w:t>
      </w:r>
      <w:r w:rsidR="00004F00">
        <w:rPr>
          <w:rFonts w:ascii="Arial" w:hAnsi="Arial" w:cs="Arial"/>
          <w:sz w:val="28"/>
          <w:szCs w:val="28"/>
        </w:rPr>
        <w:t xml:space="preserve"> concernant les modalités d’application</w:t>
      </w:r>
      <w:r w:rsidR="00F66997">
        <w:rPr>
          <w:rFonts w:ascii="Arial" w:hAnsi="Arial" w:cs="Arial"/>
          <w:sz w:val="28"/>
          <w:szCs w:val="28"/>
        </w:rPr>
        <w:t xml:space="preserve"> et de mise en œuvre de la sérialisation</w:t>
      </w:r>
      <w:r w:rsidR="00004F00">
        <w:rPr>
          <w:rFonts w:ascii="Arial" w:hAnsi="Arial" w:cs="Arial"/>
          <w:sz w:val="28"/>
          <w:szCs w:val="28"/>
        </w:rPr>
        <w:t xml:space="preserve">. </w:t>
      </w:r>
    </w:p>
    <w:p w14:paraId="4AC6DB89" w14:textId="77777777" w:rsidR="00DE0366" w:rsidRDefault="003D0786" w:rsidP="00F669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 cadre </w:t>
      </w:r>
      <w:r w:rsidR="00004F00" w:rsidRPr="00004F00">
        <w:rPr>
          <w:rFonts w:ascii="Arial" w:hAnsi="Arial" w:cs="Arial"/>
          <w:b/>
          <w:sz w:val="28"/>
          <w:szCs w:val="28"/>
        </w:rPr>
        <w:t>des achats de médicaments</w:t>
      </w:r>
      <w:r w:rsidR="00004F00">
        <w:rPr>
          <w:rFonts w:ascii="Arial" w:hAnsi="Arial" w:cs="Arial"/>
          <w:sz w:val="28"/>
          <w:szCs w:val="28"/>
        </w:rPr>
        <w:t xml:space="preserve"> et </w:t>
      </w:r>
      <w:r>
        <w:rPr>
          <w:rFonts w:ascii="Arial" w:hAnsi="Arial" w:cs="Arial"/>
          <w:sz w:val="28"/>
          <w:szCs w:val="28"/>
        </w:rPr>
        <w:t>du renouvellement des marchés, avec les fournisseurs de médicaments,</w:t>
      </w:r>
      <w:r w:rsidR="00BD63B4">
        <w:rPr>
          <w:rFonts w:ascii="Arial" w:hAnsi="Arial" w:cs="Arial"/>
          <w:sz w:val="28"/>
          <w:szCs w:val="28"/>
        </w:rPr>
        <w:t xml:space="preserve"> les dépositaires opérant pour leur compte et tous</w:t>
      </w:r>
      <w:r w:rsidR="00004F00">
        <w:rPr>
          <w:rFonts w:ascii="Arial" w:hAnsi="Arial" w:cs="Arial"/>
          <w:sz w:val="28"/>
          <w:szCs w:val="28"/>
        </w:rPr>
        <w:t xml:space="preserve"> </w:t>
      </w:r>
      <w:r w:rsidR="00BD63B4">
        <w:rPr>
          <w:rFonts w:ascii="Arial" w:hAnsi="Arial" w:cs="Arial"/>
          <w:sz w:val="28"/>
          <w:szCs w:val="28"/>
        </w:rPr>
        <w:t xml:space="preserve">prestataires ou intermédiaires entre fournisseurs de médicaments et hôpitaux, </w:t>
      </w:r>
      <w:r>
        <w:rPr>
          <w:rFonts w:ascii="Arial" w:hAnsi="Arial" w:cs="Arial"/>
          <w:sz w:val="28"/>
          <w:szCs w:val="28"/>
        </w:rPr>
        <w:t>une attention particulière doit être apportée au niveau de la rédaction d</w:t>
      </w:r>
      <w:r w:rsidR="00DE0366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</w:t>
      </w:r>
      <w:r w:rsidR="0082029F">
        <w:rPr>
          <w:rFonts w:ascii="Arial" w:hAnsi="Arial" w:cs="Arial"/>
          <w:sz w:val="28"/>
          <w:szCs w:val="28"/>
        </w:rPr>
        <w:t>règlement de consultation</w:t>
      </w:r>
      <w:r>
        <w:rPr>
          <w:rFonts w:ascii="Arial" w:hAnsi="Arial" w:cs="Arial"/>
          <w:sz w:val="28"/>
          <w:szCs w:val="28"/>
        </w:rPr>
        <w:t xml:space="preserve">, </w:t>
      </w:r>
      <w:r w:rsidR="00DE0366">
        <w:rPr>
          <w:rFonts w:ascii="Arial" w:hAnsi="Arial" w:cs="Arial"/>
          <w:sz w:val="28"/>
          <w:szCs w:val="28"/>
        </w:rPr>
        <w:t xml:space="preserve">sur les clauses concernant la sérialisation des médicaments. </w:t>
      </w:r>
    </w:p>
    <w:p w14:paraId="49E1007E" w14:textId="77777777" w:rsidR="003D0786" w:rsidRPr="00FB0C7A" w:rsidRDefault="003D0786" w:rsidP="00F669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Sans être exhaustifs, nous vous proposons les points de vigilance suivants.</w:t>
      </w:r>
    </w:p>
    <w:p w14:paraId="57DCC6ED" w14:textId="77777777" w:rsidR="00FB0C7A" w:rsidRPr="00FB0C7A" w:rsidRDefault="00FB0C7A" w:rsidP="00F66997">
      <w:pPr>
        <w:jc w:val="both"/>
        <w:rPr>
          <w:rFonts w:ascii="Arial" w:hAnsi="Arial" w:cs="Arial"/>
          <w:sz w:val="28"/>
          <w:szCs w:val="28"/>
        </w:rPr>
      </w:pPr>
    </w:p>
    <w:p w14:paraId="4BC8542E" w14:textId="64AEAB1E" w:rsidR="007A1BD6" w:rsidRDefault="00FB0C7A" w:rsidP="00F66997">
      <w:pPr>
        <w:jc w:val="both"/>
        <w:rPr>
          <w:rFonts w:ascii="Arial" w:hAnsi="Arial" w:cs="Arial"/>
          <w:sz w:val="28"/>
          <w:szCs w:val="28"/>
        </w:rPr>
      </w:pPr>
      <w:r w:rsidRPr="00FB0C7A">
        <w:rPr>
          <w:rFonts w:ascii="Arial" w:hAnsi="Arial" w:cs="Arial"/>
          <w:sz w:val="28"/>
          <w:szCs w:val="28"/>
        </w:rPr>
        <w:t>1/ L’identifiant unique, selon la définition d</w:t>
      </w:r>
      <w:r w:rsidR="0061556E">
        <w:rPr>
          <w:rFonts w:ascii="Arial" w:hAnsi="Arial" w:cs="Arial"/>
          <w:sz w:val="28"/>
          <w:szCs w:val="28"/>
        </w:rPr>
        <w:t>e l’</w:t>
      </w:r>
      <w:r w:rsidRPr="00FB0C7A">
        <w:rPr>
          <w:rFonts w:ascii="Arial" w:hAnsi="Arial" w:cs="Arial"/>
          <w:sz w:val="28"/>
          <w:szCs w:val="28"/>
        </w:rPr>
        <w:t>article 1</w:t>
      </w:r>
      <w:r w:rsidR="0061556E">
        <w:rPr>
          <w:rFonts w:ascii="Arial" w:hAnsi="Arial" w:cs="Arial"/>
          <w:sz w:val="28"/>
          <w:szCs w:val="28"/>
        </w:rPr>
        <w:t xml:space="preserve"> du règlement cité</w:t>
      </w:r>
      <w:r w:rsidR="002A4630">
        <w:rPr>
          <w:rFonts w:ascii="Arial" w:hAnsi="Arial" w:cs="Arial"/>
          <w:sz w:val="28"/>
          <w:szCs w:val="28"/>
        </w:rPr>
        <w:t xml:space="preserve"> </w:t>
      </w:r>
      <w:r w:rsidRPr="00FB0C7A">
        <w:rPr>
          <w:rFonts w:ascii="Arial" w:hAnsi="Arial" w:cs="Arial"/>
          <w:sz w:val="28"/>
          <w:szCs w:val="28"/>
        </w:rPr>
        <w:t xml:space="preserve">est une suite de </w:t>
      </w:r>
      <w:r w:rsidR="00F66997" w:rsidRPr="00FB0C7A">
        <w:rPr>
          <w:rFonts w:ascii="Arial" w:hAnsi="Arial" w:cs="Arial"/>
          <w:sz w:val="28"/>
          <w:szCs w:val="28"/>
        </w:rPr>
        <w:t>caractères</w:t>
      </w:r>
      <w:r w:rsidRPr="00FB0C7A">
        <w:rPr>
          <w:rFonts w:ascii="Arial" w:hAnsi="Arial" w:cs="Arial"/>
          <w:sz w:val="28"/>
          <w:szCs w:val="28"/>
        </w:rPr>
        <w:t xml:space="preserve"> </w:t>
      </w:r>
      <w:r w:rsidR="00F66997" w:rsidRPr="00FB0C7A">
        <w:rPr>
          <w:rFonts w:ascii="Arial" w:hAnsi="Arial" w:cs="Arial"/>
          <w:sz w:val="28"/>
          <w:szCs w:val="28"/>
        </w:rPr>
        <w:t>numériques</w:t>
      </w:r>
      <w:r w:rsidRPr="00FB0C7A">
        <w:rPr>
          <w:rFonts w:ascii="Arial" w:hAnsi="Arial" w:cs="Arial"/>
          <w:sz w:val="28"/>
          <w:szCs w:val="28"/>
        </w:rPr>
        <w:t xml:space="preserve"> ou </w:t>
      </w:r>
      <w:r w:rsidR="00F66997" w:rsidRPr="00FB0C7A">
        <w:rPr>
          <w:rFonts w:ascii="Arial" w:hAnsi="Arial" w:cs="Arial"/>
          <w:sz w:val="28"/>
          <w:szCs w:val="28"/>
        </w:rPr>
        <w:t>alphanumériques</w:t>
      </w:r>
      <w:r w:rsidRPr="00FB0C7A">
        <w:rPr>
          <w:rFonts w:ascii="Arial" w:hAnsi="Arial" w:cs="Arial"/>
          <w:sz w:val="28"/>
          <w:szCs w:val="28"/>
        </w:rPr>
        <w:t>, unique pou</w:t>
      </w:r>
      <w:r w:rsidR="00025DC9">
        <w:rPr>
          <w:rFonts w:ascii="Arial" w:hAnsi="Arial" w:cs="Arial"/>
          <w:sz w:val="28"/>
          <w:szCs w:val="28"/>
        </w:rPr>
        <w:t xml:space="preserve">r chaque </w:t>
      </w:r>
      <w:r w:rsidR="00F66997">
        <w:rPr>
          <w:rFonts w:ascii="Arial" w:hAnsi="Arial" w:cs="Arial"/>
          <w:sz w:val="28"/>
          <w:szCs w:val="28"/>
        </w:rPr>
        <w:t>boite</w:t>
      </w:r>
      <w:r w:rsidR="00025DC9">
        <w:rPr>
          <w:rFonts w:ascii="Arial" w:hAnsi="Arial" w:cs="Arial"/>
          <w:sz w:val="28"/>
          <w:szCs w:val="28"/>
        </w:rPr>
        <w:t xml:space="preserve"> de </w:t>
      </w:r>
      <w:r w:rsidR="00F66997">
        <w:rPr>
          <w:rFonts w:ascii="Arial" w:hAnsi="Arial" w:cs="Arial"/>
          <w:sz w:val="28"/>
          <w:szCs w:val="28"/>
        </w:rPr>
        <w:t>médicaments</w:t>
      </w:r>
      <w:r w:rsidR="00025DC9">
        <w:rPr>
          <w:rFonts w:ascii="Arial" w:hAnsi="Arial" w:cs="Arial"/>
          <w:sz w:val="28"/>
          <w:szCs w:val="28"/>
        </w:rPr>
        <w:t xml:space="preserve">. Il </w:t>
      </w:r>
      <w:r w:rsidRPr="00FB0C7A">
        <w:rPr>
          <w:rFonts w:ascii="Arial" w:hAnsi="Arial" w:cs="Arial"/>
          <w:sz w:val="28"/>
          <w:szCs w:val="28"/>
        </w:rPr>
        <w:t xml:space="preserve">est composé </w:t>
      </w:r>
      <w:r w:rsidR="00025DC9">
        <w:rPr>
          <w:rFonts w:ascii="Arial" w:hAnsi="Arial" w:cs="Arial"/>
          <w:sz w:val="28"/>
          <w:szCs w:val="28"/>
        </w:rPr>
        <w:t>d’un «</w:t>
      </w:r>
      <w:r w:rsidR="0072217F">
        <w:rPr>
          <w:rFonts w:ascii="Arial" w:hAnsi="Arial" w:cs="Arial"/>
          <w:sz w:val="28"/>
          <w:szCs w:val="28"/>
        </w:rPr>
        <w:t xml:space="preserve"> </w:t>
      </w:r>
      <w:r w:rsidR="00025DC9">
        <w:rPr>
          <w:rFonts w:ascii="Arial" w:hAnsi="Arial" w:cs="Arial"/>
          <w:sz w:val="28"/>
          <w:szCs w:val="28"/>
        </w:rPr>
        <w:t>code de produit</w:t>
      </w:r>
      <w:r w:rsidR="0072217F">
        <w:rPr>
          <w:rFonts w:ascii="Arial" w:hAnsi="Arial" w:cs="Arial"/>
          <w:sz w:val="28"/>
          <w:szCs w:val="28"/>
        </w:rPr>
        <w:t xml:space="preserve"> </w:t>
      </w:r>
      <w:r w:rsidR="00025DC9">
        <w:rPr>
          <w:rFonts w:ascii="Arial" w:hAnsi="Arial" w:cs="Arial"/>
          <w:sz w:val="28"/>
          <w:szCs w:val="28"/>
        </w:rPr>
        <w:t>»</w:t>
      </w:r>
      <w:r w:rsidR="00882DD8">
        <w:rPr>
          <w:rFonts w:ascii="Arial" w:hAnsi="Arial" w:cs="Arial"/>
          <w:sz w:val="28"/>
          <w:szCs w:val="28"/>
        </w:rPr>
        <w:t> </w:t>
      </w:r>
      <w:r w:rsidR="00F66997">
        <w:rPr>
          <w:rFonts w:ascii="Arial" w:hAnsi="Arial" w:cs="Arial"/>
          <w:sz w:val="28"/>
          <w:szCs w:val="28"/>
        </w:rPr>
        <w:t>(</w:t>
      </w:r>
      <w:r w:rsidR="00882DD8">
        <w:rPr>
          <w:rFonts w:ascii="Arial" w:hAnsi="Arial" w:cs="Arial"/>
          <w:sz w:val="28"/>
          <w:szCs w:val="28"/>
        </w:rPr>
        <w:t>en France ce code est le code de remboursement « CIP »</w:t>
      </w:r>
      <w:r w:rsidR="00F66997">
        <w:rPr>
          <w:rFonts w:ascii="Arial" w:hAnsi="Arial" w:cs="Arial"/>
          <w:sz w:val="28"/>
          <w:szCs w:val="28"/>
        </w:rPr>
        <w:t>)</w:t>
      </w:r>
      <w:r w:rsidR="0072217F">
        <w:rPr>
          <w:rFonts w:ascii="Arial" w:hAnsi="Arial" w:cs="Arial"/>
          <w:sz w:val="28"/>
          <w:szCs w:val="28"/>
        </w:rPr>
        <w:t xml:space="preserve"> </w:t>
      </w:r>
      <w:r w:rsidRPr="00FB0C7A">
        <w:rPr>
          <w:rFonts w:ascii="Arial" w:hAnsi="Arial" w:cs="Arial"/>
          <w:sz w:val="28"/>
          <w:szCs w:val="28"/>
        </w:rPr>
        <w:t>;</w:t>
      </w:r>
      <w:r w:rsidR="00025DC9">
        <w:rPr>
          <w:rFonts w:ascii="Arial" w:hAnsi="Arial" w:cs="Arial"/>
          <w:sz w:val="28"/>
          <w:szCs w:val="28"/>
        </w:rPr>
        <w:t xml:space="preserve"> d’un </w:t>
      </w:r>
      <w:r w:rsidR="00025DC9" w:rsidRPr="00FB0C7A">
        <w:rPr>
          <w:rFonts w:ascii="Arial" w:hAnsi="Arial" w:cs="Arial"/>
          <w:sz w:val="28"/>
          <w:szCs w:val="28"/>
        </w:rPr>
        <w:t>«</w:t>
      </w:r>
      <w:r w:rsidR="0072217F">
        <w:rPr>
          <w:rFonts w:ascii="Arial" w:hAnsi="Arial" w:cs="Arial"/>
          <w:sz w:val="28"/>
          <w:szCs w:val="28"/>
        </w:rPr>
        <w:t xml:space="preserve"> </w:t>
      </w:r>
      <w:r w:rsidR="00F66997" w:rsidRPr="00FB0C7A">
        <w:rPr>
          <w:rFonts w:ascii="Arial" w:hAnsi="Arial" w:cs="Arial"/>
          <w:sz w:val="28"/>
          <w:szCs w:val="28"/>
        </w:rPr>
        <w:t>numéro</w:t>
      </w:r>
      <w:r w:rsidR="00025DC9" w:rsidRPr="00FB0C7A">
        <w:rPr>
          <w:rFonts w:ascii="Arial" w:hAnsi="Arial" w:cs="Arial"/>
          <w:sz w:val="28"/>
          <w:szCs w:val="28"/>
        </w:rPr>
        <w:t xml:space="preserve"> de </w:t>
      </w:r>
      <w:r w:rsidR="00F66997" w:rsidRPr="00FB0C7A">
        <w:rPr>
          <w:rFonts w:ascii="Arial" w:hAnsi="Arial" w:cs="Arial"/>
          <w:sz w:val="28"/>
          <w:szCs w:val="28"/>
        </w:rPr>
        <w:t>série</w:t>
      </w:r>
      <w:r w:rsidR="00025DC9">
        <w:rPr>
          <w:rFonts w:ascii="Arial" w:hAnsi="Arial" w:cs="Arial"/>
          <w:sz w:val="28"/>
          <w:szCs w:val="28"/>
        </w:rPr>
        <w:t xml:space="preserve"> », à savoir </w:t>
      </w:r>
      <w:r w:rsidRPr="00FB0C7A">
        <w:rPr>
          <w:rFonts w:ascii="Arial" w:hAnsi="Arial" w:cs="Arial"/>
          <w:sz w:val="28"/>
          <w:szCs w:val="28"/>
        </w:rPr>
        <w:t xml:space="preserve">une suite </w:t>
      </w:r>
      <w:r w:rsidR="00F66997" w:rsidRPr="00FB0C7A">
        <w:rPr>
          <w:rFonts w:ascii="Arial" w:hAnsi="Arial" w:cs="Arial"/>
          <w:sz w:val="28"/>
          <w:szCs w:val="28"/>
        </w:rPr>
        <w:t>numérique</w:t>
      </w:r>
      <w:r w:rsidRPr="00FB0C7A">
        <w:rPr>
          <w:rFonts w:ascii="Arial" w:hAnsi="Arial" w:cs="Arial"/>
          <w:sz w:val="28"/>
          <w:szCs w:val="28"/>
        </w:rPr>
        <w:t xml:space="preserve"> ou </w:t>
      </w:r>
      <w:r w:rsidR="00F66997" w:rsidRPr="00FB0C7A">
        <w:rPr>
          <w:rFonts w:ascii="Arial" w:hAnsi="Arial" w:cs="Arial"/>
          <w:sz w:val="28"/>
          <w:szCs w:val="28"/>
        </w:rPr>
        <w:t>alphanumérique</w:t>
      </w:r>
      <w:r w:rsidRPr="00FB0C7A">
        <w:rPr>
          <w:rFonts w:ascii="Arial" w:hAnsi="Arial" w:cs="Arial"/>
          <w:sz w:val="28"/>
          <w:szCs w:val="28"/>
        </w:rPr>
        <w:t xml:space="preserve"> d'une longueur maximale de 20 </w:t>
      </w:r>
      <w:r w:rsidR="00F66997" w:rsidRPr="00FB0C7A">
        <w:rPr>
          <w:rFonts w:ascii="Arial" w:hAnsi="Arial" w:cs="Arial"/>
          <w:sz w:val="28"/>
          <w:szCs w:val="28"/>
        </w:rPr>
        <w:t>caractères</w:t>
      </w:r>
      <w:r w:rsidRPr="00FB0C7A">
        <w:rPr>
          <w:rFonts w:ascii="Arial" w:hAnsi="Arial" w:cs="Arial"/>
          <w:sz w:val="28"/>
          <w:szCs w:val="28"/>
        </w:rPr>
        <w:t xml:space="preserve">, générée par un algorithme de randomisation </w:t>
      </w:r>
      <w:r w:rsidR="00F66997" w:rsidRPr="00FB0C7A">
        <w:rPr>
          <w:rFonts w:ascii="Arial" w:hAnsi="Arial" w:cs="Arial"/>
          <w:sz w:val="28"/>
          <w:szCs w:val="28"/>
        </w:rPr>
        <w:t>déterministe</w:t>
      </w:r>
      <w:r w:rsidRPr="00FB0C7A">
        <w:rPr>
          <w:rFonts w:ascii="Arial" w:hAnsi="Arial" w:cs="Arial"/>
          <w:sz w:val="28"/>
          <w:szCs w:val="28"/>
        </w:rPr>
        <w:t xml:space="preserve"> ou non-déterministe</w:t>
      </w:r>
      <w:r w:rsidR="0072217F">
        <w:rPr>
          <w:rFonts w:ascii="Arial" w:hAnsi="Arial" w:cs="Arial"/>
          <w:sz w:val="28"/>
          <w:szCs w:val="28"/>
        </w:rPr>
        <w:t xml:space="preserve"> </w:t>
      </w:r>
      <w:r w:rsidR="00025DC9">
        <w:rPr>
          <w:rFonts w:ascii="Arial" w:hAnsi="Arial" w:cs="Arial"/>
          <w:sz w:val="28"/>
          <w:szCs w:val="28"/>
        </w:rPr>
        <w:t>»</w:t>
      </w:r>
      <w:r w:rsidR="00882DD8">
        <w:rPr>
          <w:rFonts w:ascii="Arial" w:hAnsi="Arial" w:cs="Arial"/>
          <w:sz w:val="28"/>
          <w:szCs w:val="28"/>
        </w:rPr>
        <w:t xml:space="preserve"> ; </w:t>
      </w:r>
      <w:r w:rsidR="00025DC9">
        <w:rPr>
          <w:rFonts w:ascii="Arial" w:hAnsi="Arial" w:cs="Arial"/>
          <w:sz w:val="28"/>
          <w:szCs w:val="28"/>
        </w:rPr>
        <w:t xml:space="preserve">du </w:t>
      </w:r>
      <w:r w:rsidR="00F66997">
        <w:rPr>
          <w:rFonts w:ascii="Arial" w:hAnsi="Arial" w:cs="Arial"/>
          <w:sz w:val="28"/>
          <w:szCs w:val="28"/>
        </w:rPr>
        <w:t>numéro</w:t>
      </w:r>
      <w:r w:rsidR="00025DC9">
        <w:rPr>
          <w:rFonts w:ascii="Arial" w:hAnsi="Arial" w:cs="Arial"/>
          <w:sz w:val="28"/>
          <w:szCs w:val="28"/>
        </w:rPr>
        <w:t xml:space="preserve"> de lot et de la date de </w:t>
      </w:r>
      <w:r w:rsidR="00F66997">
        <w:rPr>
          <w:rFonts w:ascii="Arial" w:hAnsi="Arial" w:cs="Arial"/>
          <w:sz w:val="28"/>
          <w:szCs w:val="28"/>
        </w:rPr>
        <w:t>péremption</w:t>
      </w:r>
      <w:r w:rsidR="00025DC9">
        <w:rPr>
          <w:rFonts w:ascii="Arial" w:hAnsi="Arial" w:cs="Arial"/>
          <w:sz w:val="28"/>
          <w:szCs w:val="28"/>
        </w:rPr>
        <w:t>.</w:t>
      </w:r>
    </w:p>
    <w:p w14:paraId="5F5239A2" w14:textId="77777777" w:rsidR="00882DD8" w:rsidRDefault="00882DD8" w:rsidP="00F66997">
      <w:pPr>
        <w:jc w:val="both"/>
        <w:rPr>
          <w:rFonts w:ascii="Arial" w:hAnsi="Arial" w:cs="Arial"/>
          <w:sz w:val="28"/>
          <w:szCs w:val="28"/>
        </w:rPr>
      </w:pPr>
    </w:p>
    <w:p w14:paraId="7079DC48" w14:textId="77777777" w:rsidR="00882DD8" w:rsidRDefault="00882DD8" w:rsidP="00F66997">
      <w:pPr>
        <w:jc w:val="both"/>
        <w:rPr>
          <w:rFonts w:ascii="Arial" w:hAnsi="Arial" w:cs="Arial"/>
          <w:b/>
          <w:sz w:val="28"/>
          <w:szCs w:val="28"/>
        </w:rPr>
      </w:pPr>
      <w:r w:rsidRPr="00882DD8">
        <w:rPr>
          <w:rFonts w:ascii="Arial" w:hAnsi="Arial" w:cs="Arial"/>
          <w:b/>
          <w:sz w:val="28"/>
          <w:szCs w:val="28"/>
        </w:rPr>
        <w:t xml:space="preserve">Le support de l’identifiant unique doit </w:t>
      </w:r>
      <w:r w:rsidR="00DE0366">
        <w:rPr>
          <w:rFonts w:ascii="Arial" w:hAnsi="Arial" w:cs="Arial"/>
          <w:b/>
          <w:sz w:val="28"/>
          <w:szCs w:val="28"/>
        </w:rPr>
        <w:t xml:space="preserve">impérativement </w:t>
      </w:r>
      <w:r w:rsidRPr="00882DD8">
        <w:rPr>
          <w:rFonts w:ascii="Arial" w:hAnsi="Arial" w:cs="Arial"/>
          <w:b/>
          <w:sz w:val="28"/>
          <w:szCs w:val="28"/>
        </w:rPr>
        <w:t>être conforme à l’article 5, et notamment les alinéas 5.4 et 5.5 du m</w:t>
      </w:r>
      <w:r>
        <w:rPr>
          <w:rFonts w:ascii="Arial" w:hAnsi="Arial" w:cs="Arial"/>
          <w:b/>
          <w:sz w:val="28"/>
          <w:szCs w:val="28"/>
        </w:rPr>
        <w:t>ême règlement, q</w:t>
      </w:r>
      <w:r w:rsidR="00A03FC2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i précisent les normes ISO auxquels doivent se référer les fabricants de médicaments.</w:t>
      </w:r>
      <w:r w:rsidR="0082029F">
        <w:rPr>
          <w:rFonts w:ascii="Arial" w:hAnsi="Arial" w:cs="Arial"/>
          <w:b/>
          <w:sz w:val="28"/>
          <w:szCs w:val="28"/>
        </w:rPr>
        <w:t xml:space="preserve"> </w:t>
      </w:r>
    </w:p>
    <w:p w14:paraId="0E04AD98" w14:textId="77777777" w:rsidR="00882DD8" w:rsidRDefault="00882DD8" w:rsidP="00F66997">
      <w:pPr>
        <w:jc w:val="both"/>
        <w:rPr>
          <w:rFonts w:ascii="Arial" w:hAnsi="Arial" w:cs="Arial"/>
          <w:b/>
          <w:sz w:val="28"/>
          <w:szCs w:val="28"/>
        </w:rPr>
      </w:pPr>
    </w:p>
    <w:p w14:paraId="6484685F" w14:textId="77777777" w:rsidR="00882DD8" w:rsidRDefault="00882DD8" w:rsidP="00F66997">
      <w:pPr>
        <w:jc w:val="both"/>
        <w:rPr>
          <w:rFonts w:ascii="Arial" w:hAnsi="Arial" w:cs="Arial"/>
          <w:sz w:val="28"/>
          <w:szCs w:val="28"/>
        </w:rPr>
      </w:pPr>
      <w:r w:rsidRPr="00882DD8">
        <w:rPr>
          <w:rFonts w:ascii="Arial" w:hAnsi="Arial" w:cs="Arial"/>
          <w:sz w:val="28"/>
          <w:szCs w:val="28"/>
        </w:rPr>
        <w:t xml:space="preserve">2/ </w:t>
      </w:r>
      <w:r w:rsidR="003D0786">
        <w:rPr>
          <w:rFonts w:ascii="Arial" w:hAnsi="Arial" w:cs="Arial"/>
          <w:sz w:val="28"/>
          <w:szCs w:val="28"/>
        </w:rPr>
        <w:t>Le process</w:t>
      </w:r>
      <w:r w:rsidR="00A03FC2">
        <w:rPr>
          <w:rFonts w:ascii="Arial" w:hAnsi="Arial" w:cs="Arial"/>
          <w:sz w:val="28"/>
          <w:szCs w:val="28"/>
        </w:rPr>
        <w:t>us de commande/réception</w:t>
      </w:r>
      <w:r w:rsidR="003D0786">
        <w:rPr>
          <w:rFonts w:ascii="Arial" w:hAnsi="Arial" w:cs="Arial"/>
          <w:sz w:val="28"/>
          <w:szCs w:val="28"/>
        </w:rPr>
        <w:t>/</w:t>
      </w:r>
      <w:r w:rsidR="00A03FC2">
        <w:rPr>
          <w:rFonts w:ascii="Arial" w:hAnsi="Arial" w:cs="Arial"/>
          <w:sz w:val="28"/>
          <w:szCs w:val="28"/>
        </w:rPr>
        <w:t>facturation</w:t>
      </w:r>
      <w:r>
        <w:rPr>
          <w:rFonts w:ascii="Arial" w:hAnsi="Arial" w:cs="Arial"/>
          <w:sz w:val="28"/>
          <w:szCs w:val="28"/>
        </w:rPr>
        <w:t xml:space="preserve"> </w:t>
      </w:r>
      <w:r w:rsidR="003D0786">
        <w:rPr>
          <w:rFonts w:ascii="Arial" w:hAnsi="Arial" w:cs="Arial"/>
          <w:sz w:val="28"/>
          <w:szCs w:val="28"/>
        </w:rPr>
        <w:t xml:space="preserve">des médicaments </w:t>
      </w:r>
      <w:r>
        <w:rPr>
          <w:rFonts w:ascii="Arial" w:hAnsi="Arial" w:cs="Arial"/>
          <w:sz w:val="28"/>
          <w:szCs w:val="28"/>
        </w:rPr>
        <w:t xml:space="preserve">doit être compatible avec </w:t>
      </w:r>
      <w:r w:rsidR="003D0786">
        <w:rPr>
          <w:rFonts w:ascii="Arial" w:hAnsi="Arial" w:cs="Arial"/>
          <w:sz w:val="28"/>
          <w:szCs w:val="28"/>
        </w:rPr>
        <w:t xml:space="preserve">la production d’un avis d’expédition dématérialisé, </w:t>
      </w:r>
      <w:r>
        <w:rPr>
          <w:rFonts w:ascii="Arial" w:hAnsi="Arial" w:cs="Arial"/>
          <w:sz w:val="28"/>
          <w:szCs w:val="28"/>
        </w:rPr>
        <w:t>le DESADV (</w:t>
      </w:r>
      <w:proofErr w:type="spellStart"/>
      <w:r>
        <w:rPr>
          <w:rFonts w:ascii="Arial" w:hAnsi="Arial" w:cs="Arial"/>
          <w:sz w:val="28"/>
          <w:szCs w:val="28"/>
        </w:rPr>
        <w:t>Despatch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Advice</w:t>
      </w:r>
      <w:proofErr w:type="spellEnd"/>
      <w:r>
        <w:rPr>
          <w:rFonts w:ascii="Arial" w:hAnsi="Arial" w:cs="Arial"/>
          <w:sz w:val="28"/>
          <w:szCs w:val="28"/>
        </w:rPr>
        <w:t>)</w:t>
      </w:r>
      <w:r w:rsidR="003D0786">
        <w:rPr>
          <w:rFonts w:ascii="Arial" w:hAnsi="Arial" w:cs="Arial"/>
          <w:sz w:val="28"/>
          <w:szCs w:val="28"/>
        </w:rPr>
        <w:t>.</w:t>
      </w:r>
    </w:p>
    <w:p w14:paraId="46A501A4" w14:textId="77777777" w:rsidR="007C2E83" w:rsidRDefault="007C2E83" w:rsidP="00F66997">
      <w:pPr>
        <w:jc w:val="both"/>
        <w:rPr>
          <w:rFonts w:ascii="Arial" w:hAnsi="Arial" w:cs="Arial"/>
          <w:sz w:val="28"/>
          <w:szCs w:val="28"/>
        </w:rPr>
      </w:pPr>
    </w:p>
    <w:p w14:paraId="433CD774" w14:textId="77777777" w:rsidR="007C2E83" w:rsidRDefault="007C2E83" w:rsidP="00F66997">
      <w:pPr>
        <w:jc w:val="both"/>
        <w:rPr>
          <w:rFonts w:ascii="Arial" w:hAnsi="Arial" w:cs="Arial"/>
          <w:sz w:val="28"/>
          <w:szCs w:val="28"/>
        </w:rPr>
      </w:pPr>
    </w:p>
    <w:p w14:paraId="1022660B" w14:textId="77777777" w:rsidR="00DE0366" w:rsidRDefault="007C2E83" w:rsidP="00F669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3/</w:t>
      </w:r>
      <w:r w:rsidR="00157BC0">
        <w:rPr>
          <w:rFonts w:ascii="Arial" w:hAnsi="Arial" w:cs="Arial"/>
          <w:sz w:val="28"/>
          <w:szCs w:val="28"/>
        </w:rPr>
        <w:t xml:space="preserve"> </w:t>
      </w:r>
      <w:r w:rsidR="00DE0366">
        <w:rPr>
          <w:rFonts w:ascii="Arial" w:hAnsi="Arial" w:cs="Arial"/>
          <w:sz w:val="28"/>
          <w:szCs w:val="28"/>
        </w:rPr>
        <w:t xml:space="preserve">Le code consolidé/agrégé proposé par le guide de la DGOS publié au mois d’aout 2018 </w:t>
      </w:r>
      <w:r w:rsidR="00157BC0">
        <w:rPr>
          <w:rFonts w:ascii="Arial" w:hAnsi="Arial" w:cs="Arial"/>
          <w:sz w:val="28"/>
          <w:szCs w:val="28"/>
        </w:rPr>
        <w:t>(</w:t>
      </w:r>
      <w:hyperlink r:id="rId5" w:history="1">
        <w:r w:rsidR="00157BC0" w:rsidRPr="00DF30E8">
          <w:rPr>
            <w:rStyle w:val="Lienhypertexte"/>
            <w:rFonts w:ascii="Arial" w:hAnsi="Arial" w:cs="Arial"/>
            <w:sz w:val="28"/>
            <w:szCs w:val="28"/>
          </w:rPr>
          <w:t>https://solidarites-sante.gouv.fr/fichiers/bo/2018/18-08/ste_20180008_0000_0094.pdf</w:t>
        </w:r>
      </w:hyperlink>
      <w:r w:rsidR="00157BC0">
        <w:rPr>
          <w:rFonts w:ascii="Arial" w:hAnsi="Arial" w:cs="Arial"/>
          <w:sz w:val="28"/>
          <w:szCs w:val="28"/>
        </w:rPr>
        <w:t>)</w:t>
      </w:r>
      <w:r w:rsidR="00DE0366" w:rsidRPr="00DE0366">
        <w:rPr>
          <w:rFonts w:ascii="Arial" w:hAnsi="Arial" w:cs="Arial"/>
          <w:sz w:val="28"/>
          <w:szCs w:val="28"/>
        </w:rPr>
        <w:t xml:space="preserve"> </w:t>
      </w:r>
      <w:r w:rsidR="00DE0366">
        <w:rPr>
          <w:rFonts w:ascii="Arial" w:hAnsi="Arial" w:cs="Arial"/>
          <w:sz w:val="28"/>
          <w:szCs w:val="28"/>
        </w:rPr>
        <w:t xml:space="preserve">doit être conforme à </w:t>
      </w:r>
      <w:r w:rsidR="00DE0366" w:rsidRPr="00B55F1F">
        <w:rPr>
          <w:rFonts w:ascii="Arial" w:hAnsi="Arial" w:cs="Arial"/>
          <w:sz w:val="28"/>
          <w:szCs w:val="28"/>
        </w:rPr>
        <w:t xml:space="preserve"> </w:t>
      </w:r>
      <w:r w:rsidR="00DE0366" w:rsidRPr="007C2E83">
        <w:rPr>
          <w:rFonts w:ascii="Arial" w:hAnsi="Arial" w:cs="Arial"/>
          <w:sz w:val="28"/>
          <w:szCs w:val="28"/>
        </w:rPr>
        <w:t xml:space="preserve">l’avis </w:t>
      </w:r>
      <w:r w:rsidR="00DE0366" w:rsidRPr="00157BC0">
        <w:rPr>
          <w:rFonts w:ascii="Arial" w:hAnsi="Arial" w:cs="Arial"/>
          <w:sz w:val="28"/>
          <w:szCs w:val="28"/>
        </w:rPr>
        <w:t xml:space="preserve">du </w:t>
      </w:r>
      <w:r w:rsidR="00DE0366">
        <w:rPr>
          <w:rFonts w:ascii="Arial" w:hAnsi="Arial" w:cs="Arial"/>
          <w:sz w:val="28"/>
          <w:szCs w:val="28"/>
        </w:rPr>
        <w:t>GT IV « </w:t>
      </w:r>
      <w:r w:rsidR="00DE0366" w:rsidRPr="00157BC0">
        <w:rPr>
          <w:rFonts w:ascii="Arial" w:hAnsi="Arial" w:cs="Arial"/>
          <w:sz w:val="28"/>
          <w:szCs w:val="28"/>
        </w:rPr>
        <w:t>Mise en œuvre de la directive sur les médicaments</w:t>
      </w:r>
      <w:r w:rsidR="00DE0366">
        <w:rPr>
          <w:rFonts w:ascii="Arial" w:hAnsi="Arial" w:cs="Arial"/>
          <w:sz w:val="28"/>
          <w:szCs w:val="28"/>
        </w:rPr>
        <w:t xml:space="preserve"> falsifiés en milieu hospitalier » a</w:t>
      </w:r>
      <w:r w:rsidR="00DE0366" w:rsidRPr="00157BC0">
        <w:rPr>
          <w:rFonts w:ascii="Arial" w:hAnsi="Arial" w:cs="Arial"/>
          <w:sz w:val="28"/>
          <w:szCs w:val="28"/>
        </w:rPr>
        <w:t>dopté le 25 septembre 2018 par le groupe d'experts des États membres sur les dispositifs de sécurité</w:t>
      </w:r>
      <w:r w:rsidR="00AE64B6">
        <w:rPr>
          <w:rFonts w:ascii="Arial" w:hAnsi="Arial" w:cs="Arial"/>
          <w:sz w:val="28"/>
          <w:szCs w:val="28"/>
        </w:rPr>
        <w:t> ; il</w:t>
      </w:r>
      <w:r w:rsidR="00DE0366">
        <w:rPr>
          <w:rFonts w:ascii="Arial" w:hAnsi="Arial" w:cs="Arial"/>
          <w:sz w:val="28"/>
          <w:szCs w:val="28"/>
        </w:rPr>
        <w:t xml:space="preserve"> </w:t>
      </w:r>
      <w:r w:rsidR="00DE0366" w:rsidRPr="007C2E83">
        <w:rPr>
          <w:rFonts w:ascii="Arial" w:hAnsi="Arial" w:cs="Arial"/>
          <w:sz w:val="28"/>
          <w:szCs w:val="28"/>
        </w:rPr>
        <w:t>impose un cryptage des données et une sécurisation de leur transport</w:t>
      </w:r>
      <w:r w:rsidR="00DE0366">
        <w:rPr>
          <w:rFonts w:ascii="Arial" w:hAnsi="Arial" w:cs="Arial"/>
          <w:sz w:val="28"/>
          <w:szCs w:val="28"/>
        </w:rPr>
        <w:t xml:space="preserve"> (</w:t>
      </w:r>
      <w:hyperlink r:id="rId6" w:history="1">
        <w:r w:rsidR="00DE0366" w:rsidRPr="00DF30E8">
          <w:rPr>
            <w:rStyle w:val="Lienhypertexte"/>
            <w:rFonts w:ascii="Arial" w:hAnsi="Arial" w:cs="Arial"/>
            <w:sz w:val="28"/>
            <w:szCs w:val="28"/>
          </w:rPr>
          <w:t>https://www.france-mvo.fr/wp-content/uploads/2018/10/WG_IV_Ho%CC%82pitaux_Version-Fr.pdf</w:t>
        </w:r>
      </w:hyperlink>
      <w:r w:rsidR="00DE0366">
        <w:rPr>
          <w:rFonts w:ascii="Arial" w:hAnsi="Arial" w:cs="Arial"/>
          <w:sz w:val="28"/>
          <w:szCs w:val="28"/>
        </w:rPr>
        <w:t>).</w:t>
      </w:r>
    </w:p>
    <w:p w14:paraId="3C904AF9" w14:textId="53B75ABC" w:rsidR="00DE0366" w:rsidRDefault="00DE0366" w:rsidP="00F669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attirons votre attention sur le fait que « l</w:t>
      </w:r>
      <w:r w:rsidRPr="00B55F1F">
        <w:rPr>
          <w:rFonts w:ascii="Arial" w:hAnsi="Arial" w:cs="Arial"/>
          <w:sz w:val="28"/>
          <w:szCs w:val="28"/>
        </w:rPr>
        <w:t xml:space="preserve">'échange de fichiers de données doit être </w:t>
      </w:r>
      <w:r w:rsidRPr="008F3B76">
        <w:rPr>
          <w:rFonts w:ascii="Arial" w:hAnsi="Arial" w:cs="Arial"/>
          <w:b/>
          <w:sz w:val="28"/>
          <w:szCs w:val="28"/>
        </w:rPr>
        <w:t>crypté, sécurisé, confidentiel et documenté dans</w:t>
      </w:r>
      <w:r w:rsidR="00F66997">
        <w:rPr>
          <w:rFonts w:ascii="Arial" w:hAnsi="Arial" w:cs="Arial"/>
          <w:b/>
          <w:sz w:val="28"/>
          <w:szCs w:val="28"/>
        </w:rPr>
        <w:t xml:space="preserve"> </w:t>
      </w:r>
      <w:r w:rsidRPr="008F3B76">
        <w:rPr>
          <w:rFonts w:ascii="Arial" w:hAnsi="Arial" w:cs="Arial"/>
          <w:b/>
          <w:sz w:val="28"/>
          <w:szCs w:val="28"/>
        </w:rPr>
        <w:t>le contrat avec le fournisseur</w:t>
      </w:r>
      <w:r>
        <w:rPr>
          <w:rFonts w:ascii="Arial" w:hAnsi="Arial" w:cs="Arial"/>
          <w:sz w:val="28"/>
          <w:szCs w:val="28"/>
        </w:rPr>
        <w:t> </w:t>
      </w:r>
      <w:r w:rsidR="00F66997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698FF43" w14:textId="77777777" w:rsidR="00DE0366" w:rsidRDefault="00DE0366" w:rsidP="00F66997">
      <w:pPr>
        <w:jc w:val="both"/>
        <w:rPr>
          <w:rFonts w:ascii="Arial" w:hAnsi="Arial" w:cs="Arial"/>
          <w:sz w:val="28"/>
          <w:szCs w:val="28"/>
        </w:rPr>
      </w:pPr>
    </w:p>
    <w:p w14:paraId="368567C9" w14:textId="77777777" w:rsidR="00DE0366" w:rsidRPr="00F70137" w:rsidRDefault="00DE0366" w:rsidP="00F669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notions « crypté, sécurisé &amp; confidentiel » imposent</w:t>
      </w:r>
      <w:r w:rsidRPr="00157BC0">
        <w:rPr>
          <w:rFonts w:ascii="Arial" w:hAnsi="Arial" w:cs="Arial"/>
          <w:b/>
          <w:sz w:val="28"/>
          <w:szCs w:val="28"/>
        </w:rPr>
        <w:t xml:space="preserve"> le non-enregistrement du code </w:t>
      </w:r>
      <w:r>
        <w:rPr>
          <w:rFonts w:ascii="Arial" w:hAnsi="Arial" w:cs="Arial"/>
          <w:b/>
          <w:sz w:val="28"/>
          <w:szCs w:val="28"/>
        </w:rPr>
        <w:t>agrégé/</w:t>
      </w:r>
      <w:r w:rsidRPr="00157BC0">
        <w:rPr>
          <w:rFonts w:ascii="Arial" w:hAnsi="Arial" w:cs="Arial"/>
          <w:b/>
          <w:sz w:val="28"/>
          <w:szCs w:val="28"/>
        </w:rPr>
        <w:t>consolidé</w:t>
      </w:r>
      <w:r>
        <w:rPr>
          <w:rFonts w:ascii="Arial" w:hAnsi="Arial" w:cs="Arial"/>
          <w:b/>
          <w:sz w:val="28"/>
          <w:szCs w:val="28"/>
        </w:rPr>
        <w:t xml:space="preserve"> ainsi que</w:t>
      </w:r>
      <w:r w:rsidRPr="00157BC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l’impossibilité </w:t>
      </w:r>
      <w:r w:rsidR="00AE64B6">
        <w:rPr>
          <w:rFonts w:ascii="Arial" w:hAnsi="Arial" w:cs="Arial"/>
          <w:b/>
          <w:sz w:val="28"/>
          <w:szCs w:val="28"/>
        </w:rPr>
        <w:t>d’accès</w:t>
      </w:r>
      <w:r>
        <w:rPr>
          <w:rFonts w:ascii="Arial" w:hAnsi="Arial" w:cs="Arial"/>
          <w:b/>
          <w:sz w:val="28"/>
          <w:szCs w:val="28"/>
        </w:rPr>
        <w:t xml:space="preserve"> aux</w:t>
      </w:r>
      <w:r w:rsidRPr="00157BC0">
        <w:rPr>
          <w:rFonts w:ascii="Arial" w:hAnsi="Arial" w:cs="Arial"/>
          <w:b/>
          <w:sz w:val="28"/>
          <w:szCs w:val="28"/>
        </w:rPr>
        <w:t xml:space="preserve"> informations contenues dans le code</w:t>
      </w:r>
      <w:r>
        <w:rPr>
          <w:rFonts w:ascii="Arial" w:hAnsi="Arial" w:cs="Arial"/>
          <w:sz w:val="28"/>
          <w:szCs w:val="28"/>
        </w:rPr>
        <w:t xml:space="preserve"> par des </w:t>
      </w:r>
      <w:hyperlink r:id="rId7" w:history="1">
        <w:r w:rsidRPr="00F66997">
          <w:rPr>
            <w:rFonts w:ascii="Arial" w:hAnsi="Arial" w:cs="Arial"/>
            <w:sz w:val="28"/>
            <w:szCs w:val="28"/>
          </w:rPr>
          <w:t>tierces</w:t>
        </w:r>
      </w:hyperlink>
      <w:r>
        <w:rPr>
          <w:rFonts w:ascii="Arial" w:hAnsi="Arial" w:cs="Arial"/>
          <w:sz w:val="28"/>
          <w:szCs w:val="28"/>
        </w:rPr>
        <w:t xml:space="preserve"> parties y compris les prestataires ou intermédiaires. Pour apporter ces garanties, nous recommandons qu’une convention d’</w:t>
      </w:r>
      <w:proofErr w:type="spellStart"/>
      <w:r>
        <w:rPr>
          <w:rFonts w:ascii="Arial" w:hAnsi="Arial" w:cs="Arial"/>
          <w:sz w:val="28"/>
          <w:szCs w:val="28"/>
        </w:rPr>
        <w:t>interch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ange</w:t>
      </w:r>
      <w:proofErr w:type="spellEnd"/>
      <w:r>
        <w:rPr>
          <w:rFonts w:ascii="Arial" w:hAnsi="Arial" w:cs="Arial"/>
          <w:sz w:val="28"/>
          <w:szCs w:val="28"/>
        </w:rPr>
        <w:t xml:space="preserve"> soit annexée au marché.</w:t>
      </w:r>
    </w:p>
    <w:p w14:paraId="36EB5792" w14:textId="77777777" w:rsidR="00157BC0" w:rsidRDefault="00157BC0" w:rsidP="00F66997">
      <w:pPr>
        <w:jc w:val="both"/>
        <w:rPr>
          <w:rFonts w:ascii="Arial" w:hAnsi="Arial" w:cs="Arial"/>
          <w:sz w:val="28"/>
          <w:szCs w:val="28"/>
        </w:rPr>
      </w:pPr>
    </w:p>
    <w:p w14:paraId="7D8B55CD" w14:textId="77777777" w:rsidR="00157BC0" w:rsidRPr="00882DD8" w:rsidRDefault="00157BC0" w:rsidP="00F66997">
      <w:pPr>
        <w:jc w:val="both"/>
        <w:rPr>
          <w:rFonts w:ascii="Arial" w:hAnsi="Arial" w:cs="Arial"/>
          <w:sz w:val="28"/>
          <w:szCs w:val="28"/>
        </w:rPr>
      </w:pPr>
    </w:p>
    <w:sectPr w:rsidR="00157BC0" w:rsidRPr="00882DD8" w:rsidSect="004E07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D6"/>
    <w:rsid w:val="00004F00"/>
    <w:rsid w:val="00025DC9"/>
    <w:rsid w:val="0005089B"/>
    <w:rsid w:val="00157BC0"/>
    <w:rsid w:val="00212235"/>
    <w:rsid w:val="002A4630"/>
    <w:rsid w:val="003D0786"/>
    <w:rsid w:val="00435168"/>
    <w:rsid w:val="004E0707"/>
    <w:rsid w:val="0061556E"/>
    <w:rsid w:val="006732EE"/>
    <w:rsid w:val="0072217F"/>
    <w:rsid w:val="00725742"/>
    <w:rsid w:val="007A1BD6"/>
    <w:rsid w:val="007C2E83"/>
    <w:rsid w:val="0082029F"/>
    <w:rsid w:val="00882DD8"/>
    <w:rsid w:val="008A685A"/>
    <w:rsid w:val="009C4EF4"/>
    <w:rsid w:val="00A03FC2"/>
    <w:rsid w:val="00AE64B6"/>
    <w:rsid w:val="00BD63B4"/>
    <w:rsid w:val="00D67F62"/>
    <w:rsid w:val="00DE0366"/>
    <w:rsid w:val="00F66997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DDAD"/>
  <w15:chartTrackingRefBased/>
  <w15:docId w15:val="{68027AA0-1E00-464A-9FFB-8E50EAE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BC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trick.mazaud\AppData\Local\Microsoft\Windows\Temporary%20Internet%20Files\Content.Outlook\NTEY85ED\tier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ance-mvo.fr/wp-content/uploads/2018/10/WG_IV_Ho%CC%82pitaux_Version-Fr.pdf" TargetMode="External"/><Relationship Id="rId5" Type="http://schemas.openxmlformats.org/officeDocument/2006/relationships/hyperlink" Target="https://solidarites-sante.gouv.fr/fichiers/bo/2018/18-08/ste_20180008_0000_0094.pdf" TargetMode="External"/><Relationship Id="rId4" Type="http://schemas.openxmlformats.org/officeDocument/2006/relationships/hyperlink" Target="https://eur-lex.europa.eu/legal-content/FR/TXT/PDF/?uri=CELEX:32016R0161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Goeury</dc:creator>
  <cp:keywords/>
  <dc:description/>
  <cp:lastModifiedBy>CHEVANCE Cécile</cp:lastModifiedBy>
  <cp:revision>2</cp:revision>
  <dcterms:created xsi:type="dcterms:W3CDTF">2019-01-21T14:11:00Z</dcterms:created>
  <dcterms:modified xsi:type="dcterms:W3CDTF">2019-01-21T14:11:00Z</dcterms:modified>
</cp:coreProperties>
</file>